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Профессиональное обучение отдельных категорий граждан</w:t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ind w:firstLine="720"/>
        <w:jc w:val="both"/>
        <w:spacing w:after="0" w:afterAutospacing="0"/>
        <w:rPr>
          <w:rFonts w:ascii="Tinos" w:hAnsi="Tinos" w:eastAsia="Tinos" w:cs="Tinos"/>
          <w:b/>
          <w:bCs/>
          <w:i/>
          <w:color w:val="000000" w:themeColor="text1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i/>
          <w:iCs/>
          <w:color w:val="000000" w:themeColor="text1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highlight w:val="white"/>
        </w:rPr>
        <w:t xml:space="preserve">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 отдельные категории граждан могут получить профессиональное обучение, дополнительное профессиональное </w:t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highlight w:val="white"/>
        </w:rPr>
        <w:t xml:space="preserve">образование в рамках федерального проекта «Активные меры содействия занятости» национального проекта «Кадры».</w:t>
      </w:r>
      <w:r>
        <w:rPr>
          <w:rFonts w:ascii="Tinos" w:hAnsi="Tinos" w:eastAsia="Tinos" w:cs="Tinos"/>
          <w:b/>
          <w:bCs/>
          <w:i/>
          <w:iCs/>
          <w:color w:val="000000" w:themeColor="text1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</w:rPr>
      </w:r>
    </w:p>
    <w:p>
      <w:pPr>
        <w:ind w:firstLine="720"/>
        <w:jc w:val="both"/>
        <w:spacing w:after="0"/>
        <w:rPr>
          <w:rFonts w:ascii="Tinos" w:hAnsi="Tinos" w:cs="Tinos"/>
          <w:color w:val="000000" w:themeColor="text1"/>
          <w:sz w:val="24"/>
          <w:szCs w:val="24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Цель обучения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– приобретение или развитие имеющихся знаний, компетенций и навыков, обеспечивающих конкурентоспособность и профессиональную мобильность на рынке труда. 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720"/>
        <w:jc w:val="center"/>
        <w:spacing w:after="0"/>
        <w:rPr>
          <w:rFonts w:ascii="Tinos" w:hAnsi="Tinos" w:cs="Tinos"/>
          <w:color w:val="000000" w:themeColor="text1"/>
          <w:sz w:val="24"/>
          <w:szCs w:val="24"/>
        </w:rPr>
        <w:suppressLineNumbers w:val="0"/>
      </w:pP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szCs w:val="24"/>
        </w:rPr>
        <w:t xml:space="preserve">Обучение организуют федеральные операторы: </w:t>
      </w:r>
      <w:r>
        <w:rPr>
          <w:rFonts w:ascii="Tinos" w:hAnsi="Tinos" w:cs="Tinos"/>
          <w:b/>
          <w:bCs/>
          <w:i/>
          <w:iCs/>
          <w:color w:val="000000" w:themeColor="text1"/>
          <w:sz w:val="24"/>
          <w:szCs w:val="24"/>
        </w:rPr>
      </w:r>
      <w:r>
        <w:rPr>
          <w:rFonts w:ascii="Tinos" w:hAnsi="Tinos" w:cs="Tinos"/>
          <w:b/>
          <w:bCs/>
          <w:i/>
          <w:iCs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/>
        <w:rPr>
          <w:rFonts w:ascii="Tinos" w:hAnsi="Tinos" w:cs="Tinos"/>
          <w:color w:val="000000" w:themeColor="text1"/>
          <w:sz w:val="24"/>
          <w:szCs w:val="24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Национальный исследовательский Томский государственный университет (ТГУ)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,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349"/>
        <w:jc w:val="both"/>
        <w:spacing w:after="0" w:afterAutospacing="0"/>
        <w:rPr>
          <w:rFonts w:ascii="Tinos" w:hAnsi="Tinos" w:eastAsia="Tinos" w:cs="Tinos"/>
          <w:b/>
          <w:bCs/>
          <w:i/>
          <w:color w:val="000000" w:themeColor="text1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Российская академия народного хозяйства и государственной службы при Президенте Российской Федерации (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РАНХиГС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)</w:t>
      </w:r>
      <w:r>
        <w:rPr>
          <w:rFonts w:ascii="Tinos" w:hAnsi="Tinos" w:eastAsia="Tinos" w:cs="Tinos"/>
          <w:b/>
          <w:bCs/>
          <w:i/>
          <w:iCs/>
          <w:color w:val="000000" w:themeColor="text1"/>
          <w:highlight w:val="none"/>
        </w:rPr>
        <w:t xml:space="preserve">,</w:t>
      </w:r>
      <w:r>
        <w:rPr>
          <w:rFonts w:ascii="Tinos" w:hAnsi="Tinos" w:eastAsia="Tinos" w:cs="Tinos"/>
          <w:b/>
          <w:bCs/>
          <w:i/>
          <w:iCs/>
          <w:color w:val="000000" w:themeColor="text1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349"/>
        <w:jc w:val="both"/>
        <w:spacing w:after="0" w:afterAutospacing="0"/>
        <w:rPr>
          <w:rFonts w:ascii="Tinos" w:hAnsi="Tinos" w:eastAsia="Tinos" w:cs="Tinos"/>
          <w:b w:val="0"/>
          <w:bCs w:val="0"/>
          <w:i w:val="0"/>
          <w:color w:val="000000" w:themeColor="text1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i/>
          <w:iCs/>
          <w:color w:val="000000" w:themeColor="text1"/>
          <w:highlight w:val="none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Институт  развития профессионального образования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highlight w:val="none"/>
        </w:rPr>
        <w:t xml:space="preserve"> (ИРПО),</w:t>
      </w:r>
      <w:r>
        <w:rPr>
          <w:rFonts w:ascii="Tinos" w:hAnsi="Tinos" w:eastAsia="Tinos" w:cs="Tinos"/>
          <w:b/>
          <w:bCs/>
          <w:i/>
          <w:color w:val="000000" w:themeColor="text1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349"/>
        <w:jc w:val="both"/>
        <w:spacing w:after="0" w:afterAutospacing="0"/>
        <w:rPr>
          <w:rFonts w:ascii="Tinos" w:hAnsi="Tinos" w:eastAsia="Tinos" w:cs="Tinos"/>
          <w:b w:val="0"/>
          <w:bCs w:val="0"/>
          <w:i w:val="0"/>
          <w:color w:val="000000" w:themeColor="text1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Всероссийский научно-исследовательский институт труда</w:t>
      </w:r>
      <w:r>
        <w:rPr>
          <w:rFonts w:ascii="Tinos" w:hAnsi="Tinos" w:eastAsia="Tinos" w:cs="Tinos"/>
          <w:b/>
          <w:bCs/>
          <w:i/>
          <w:color w:val="000000" w:themeColor="text1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highlight w:val="none"/>
        </w:rPr>
        <w:t xml:space="preserve">(ВНИИ труда)</w:t>
      </w:r>
      <w:r>
        <w:rPr>
          <w:b w:val="0"/>
          <w:bCs w:val="0"/>
          <w:i w:val="0"/>
          <w:iCs w:val="0"/>
        </w:rPr>
      </w:r>
    </w:p>
    <w:p>
      <w:pPr>
        <w:ind w:left="349" w:right="0" w:firstLine="0"/>
        <w:jc w:val="both"/>
        <w:spacing w:after="0" w:afterAutospacing="0"/>
        <w:rPr>
          <w:rFonts w:ascii="Tinos" w:hAnsi="Tinos" w:eastAsia="Tinos" w:cs="Tinos"/>
          <w:b/>
          <w:bCs/>
          <w:i/>
          <w:color w:val="000000" w:themeColor="text1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highlight w:val="none"/>
        </w:rPr>
      </w:r>
    </w:p>
    <w:p>
      <w:pPr>
        <w:jc w:val="center"/>
        <w:spacing w:after="0" w:line="240" w:lineRule="auto"/>
        <w:rPr>
          <w:rFonts w:ascii="Tinos" w:hAnsi="Tinos" w:cs="Tinos"/>
          <w:b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</w:rPr>
        <w:t xml:space="preserve">Пройти бесплатное обучение могут:</w:t>
      </w:r>
      <w:r>
        <w:rPr>
          <w:rFonts w:ascii="Tinos" w:hAnsi="Tinos" w:cs="Tinos"/>
          <w:b/>
          <w:color w:val="000000" w:themeColor="text1"/>
          <w:sz w:val="24"/>
          <w:szCs w:val="24"/>
        </w:rPr>
      </w:r>
      <w:r>
        <w:rPr>
          <w:rFonts w:ascii="Tinos" w:hAnsi="Tinos" w:cs="Tinos"/>
          <w:b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граждане в возрасте 50 лет и старше, 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граждане предпенсионного возраста;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женщины, находящиеся в отпуске по уходу за ребенком до достижения им возраста 3 лет;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женщины, не состоящие в трудовых отношениях и имеющие детей дошкольного возраста в возрасте от 0 до 7 лет включительно;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безработные граждане, зарегистрированные в органах службы занятости;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инвалиды;</w:t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граждане, обратившиеся в органы службы занятости в целях поиска работы</w:t>
      </w:r>
      <w:r/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;</w:t>
      </w:r>
      <w:r>
        <w:rPr>
          <w:rFonts w:ascii="Tinos" w:hAnsi="Tinos" w:cs="Tinos"/>
          <w:color w:val="000000" w:themeColor="text1"/>
          <w:sz w:val="24"/>
          <w:szCs w:val="24"/>
        </w:rPr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молодежь в возрасте до 35 лет включительно если: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720" w:firstLine="0"/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- с даты окончания военной службы по призыву не являются занятыми в течение 4 месяцев и более;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720" w:firstLine="0"/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не имеют среднего профессионального или высшего образования и не обучаются по образовательным программам среднего профессионального или высшего образования;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720" w:firstLine="0"/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с даты выдачи им документа об образовании не являются занятыми в течение 4 месяцев и более;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лица, принимавшие в соответствии с решениями органов публичной власти ДНР, ЛНР участие в боевых действиях в составе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ВС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ДНР, Народной милиции ЛНР, воинских формирований и органов ДНР, ЛНР, начиная с 11.05.2014;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ветераны боевых действий, принимавшие участие (содействовавшие выполнению задач) в СВО на территориях ДНР, ЛНР и Украины с 24.02.2022, на территориях Запорожской и Херсонской областей с 30.09.2022,уволенные с военной службы (службы, работы);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члены семьи лиц, погибших (умерших) ветеранов боевых действий СВО на территориях ДНР, ЛНР и Украины с 24.02.2022г., на территориях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Запорожской и Херсонской областей с 30.09.2022,а так же лиц, принимавших участие в боевых действиях в ДНР и ЛНР, начиная с 11.05.2014, при выполнении задач в ходе СВО (боевых действий), либо умерших после увольнения с военной службы (службы, работы), если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смерть таких лиц наступила вследствие увечья (ранения, травмы, контузии) или заболевания, полученных ими при выполнении задач в ходе СВО (боевых действий).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</w:rPr>
        <w:t xml:space="preserve">Как принять участие в программе:</w:t>
      </w:r>
      <w:r>
        <w:rPr>
          <w:rFonts w:ascii="Tinos" w:hAnsi="Tinos" w:cs="Tinos"/>
          <w:b/>
          <w:color w:val="000000" w:themeColor="text1"/>
          <w:sz w:val="24"/>
          <w:szCs w:val="24"/>
        </w:rPr>
      </w:r>
      <w:r>
        <w:rPr>
          <w:rFonts w:ascii="Tinos" w:hAnsi="Tinos" w:cs="Tinos"/>
          <w:b/>
          <w:color w:val="000000" w:themeColor="text1"/>
          <w:sz w:val="24"/>
          <w:szCs w:val="24"/>
        </w:rPr>
      </w:r>
    </w:p>
    <w:p>
      <w:pPr>
        <w:ind w:left="0" w:right="0" w:firstLine="720"/>
        <w:jc w:val="both"/>
        <w:spacing w:before="0" w:after="0" w:afterAutospacing="0"/>
        <w:shd w:val="clear" w:color="ffffff" w:fill="ffffff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4"/>
        </w:rPr>
        <w:t xml:space="preserve">Подать заявление можно на портале «Работа России». Для подачи заявления необходимо иметь подтвержденную учетную запись ЕСИА.</w:t>
      </w:r>
      <w:r>
        <w:rPr>
          <w:rFonts w:ascii="Tinos" w:hAnsi="Tinos" w:eastAsia="Tinos" w:cs="Tinos"/>
          <w:color w:val="000000" w:themeColor="text1"/>
        </w:rPr>
      </w:r>
    </w:p>
    <w:p>
      <w:pPr>
        <w:ind w:left="0" w:right="0" w:firstLine="720"/>
        <w:jc w:val="both"/>
        <w:spacing w:before="0" w:after="0" w:afterAutospacing="0"/>
        <w:shd w:val="clear" w:color="ffffff" w:fill="ffffff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4"/>
        </w:rPr>
        <w:t xml:space="preserve">Если гражданину требуется помощь при заполнении заявления, он может лично обратиться в центр занятости населения за консультацией. Там же гражданин может подтвердить учетную запись ЕСИА (кроме центров занятости учетную запись можно также подтвердить в банк</w:t>
      </w:r>
      <w:r>
        <w:rPr>
          <w:rFonts w:ascii="Tinos" w:hAnsi="Tinos" w:eastAsia="Tinos" w:cs="Tinos"/>
          <w:color w:val="000000" w:themeColor="text1"/>
          <w:sz w:val="24"/>
        </w:rPr>
        <w:t xml:space="preserve">ах, МФЦ и других организациях; подробнее о подтверждении учетной записи можно прочитать на портале Госуслуг).</w:t>
      </w:r>
      <w:r>
        <w:rPr>
          <w:rFonts w:ascii="Tinos" w:hAnsi="Tinos" w:eastAsia="Tinos" w:cs="Tinos"/>
          <w:color w:val="000000" w:themeColor="text1"/>
        </w:rPr>
      </w:r>
    </w:p>
    <w:p>
      <w:pPr>
        <w:ind w:left="0" w:right="0" w:firstLine="720"/>
        <w:jc w:val="both"/>
        <w:spacing w:before="0" w:after="0" w:afterAutospacing="0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4"/>
        </w:rPr>
        <w:t xml:space="preserve">Заявление подается гражданином по месту жительства или по месту пребывания. Если гражданин зарегистрирован в центре занятости населения в целях поиска подходящей работы, то заявление подается в центр занятости населения, в котором гражданин состоит на учет</w:t>
      </w:r>
      <w:r>
        <w:rPr>
          <w:rFonts w:ascii="Tinos" w:hAnsi="Tinos" w:eastAsia="Tinos" w:cs="Tinos"/>
          <w:color w:val="000000" w:themeColor="text1"/>
          <w:sz w:val="24"/>
        </w:rPr>
        <w:t xml:space="preserve">е.</w:t>
      </w:r>
      <w:r>
        <w:rPr>
          <w:rFonts w:ascii="Tinos" w:hAnsi="Tinos" w:eastAsia="Tinos" w:cs="Tinos"/>
          <w:color w:val="000000" w:themeColor="text1"/>
        </w:rPr>
      </w:r>
    </w:p>
    <w:p>
      <w:pPr>
        <w:ind w:left="0" w:right="0" w:firstLine="720"/>
        <w:jc w:val="both"/>
        <w:spacing w:before="0" w:after="0" w:afterAutospacing="0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4"/>
          <w:highlight w:val="none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 течение трёх дней после подачи заявки обратитесь в кадровый центр по месту регистрации или проживания, предоставьте документы подтверждающие выбранную Вами категорию. </w:t>
      </w:r>
      <w:r>
        <w:rPr>
          <w:rFonts w:ascii="Tinos" w:hAnsi="Tinos" w:eastAsia="Tinos" w:cs="Tinos"/>
          <w:color w:val="000000" w:themeColor="text1"/>
          <w:sz w:val="24"/>
          <w:highlight w:val="white"/>
        </w:rPr>
        <w:t xml:space="preserve">Центр занятости населения организует прохождение гражданином профессиональной ориентации с целью определения целесообразности прохождения гражданином профессионального обучения, дополнительного профессионального образования, по выбранной гражданином образо</w:t>
      </w:r>
      <w:r>
        <w:rPr>
          <w:rFonts w:ascii="Tinos" w:hAnsi="Tinos" w:eastAsia="Tinos" w:cs="Tinos"/>
          <w:color w:val="000000" w:themeColor="text1"/>
          <w:sz w:val="24"/>
          <w:highlight w:val="white"/>
        </w:rPr>
        <w:t xml:space="preserve">вательной программе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, по итогам которой будет выдано подтверждение участия в программе, отказ или рекомендация по смене программы обучения</w:t>
      </w:r>
      <w:r>
        <w:rPr>
          <w:rFonts w:ascii="Tinos" w:hAnsi="Tinos" w:eastAsia="Tinos" w:cs="Tinos"/>
          <w:color w:val="000000" w:themeColor="text1"/>
          <w:sz w:val="24"/>
          <w:highlight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4"/>
          <w:highlight w:val="none"/>
        </w:rPr>
      </w:r>
    </w:p>
    <w:p>
      <w:pPr>
        <w:ind w:left="0" w:right="0" w:firstLine="720"/>
        <w:jc w:val="both"/>
        <w:spacing w:before="0" w:after="0" w:afterAutospacing="0"/>
        <w:shd w:val="clear" w:color="ffffff" w:fill="ffffff"/>
        <w:rPr>
          <w:rFonts w:ascii="Tinos" w:hAnsi="Tinos" w:cs="Tinos"/>
          <w:b w:val="0"/>
          <w:bCs w:val="0"/>
          <w:i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none"/>
        </w:rPr>
        <w:t xml:space="preserve">Ф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white"/>
        </w:rPr>
        <w:t xml:space="preserve">едеральный проект «Активные меры содействия занятости» национального проекта «Кадры»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white"/>
        </w:rPr>
        <w:t xml:space="preserve"> предусматривает организацию системы профессиональной переподготовки и повышения квалификации кадров для приоритетных отраслей экономики, а также создание условий для эффективного привлечения работников. Обучение будет вестись только по перечню из 360 востр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white"/>
        </w:rPr>
        <w:t xml:space="preserve">ебованных на рынке труда профессий, должностей и специальностей. 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</w:rPr>
        <w:suppressLineNumbers w:val="0"/>
      </w:pPr>
      <w:r>
        <w:rPr>
          <w:rFonts w:ascii="Tinos" w:hAnsi="Tinos" w:cs="Tinos"/>
          <w:color w:val="000000" w:themeColor="text1"/>
          <w:sz w:val="24"/>
          <w:szCs w:val="24"/>
          <w:highlight w:val="none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afterAutospacing="0"/>
        <w:rPr>
          <w:rFonts w:ascii="Tinos" w:hAnsi="Tinos" w:cs="Tinos"/>
          <w:b/>
          <w:bCs/>
          <w:i/>
          <w:color w:val="000000" w:themeColor="text1"/>
        </w:rPr>
        <w:suppressLineNumbers w:val="0"/>
      </w:pPr>
      <w:r>
        <w:rPr>
          <w:rFonts w:ascii="Tinos" w:hAnsi="Tinos" w:eastAsia="Tinos" w:cs="Tinos"/>
          <w:b/>
          <w:bCs/>
          <w:i/>
          <w:iCs/>
          <w:color w:val="000000" w:themeColor="text1"/>
          <w:highlight w:val="none"/>
        </w:rPr>
      </w:r>
    </w:p>
    <w:p>
      <w:pPr>
        <w:spacing w:after="0" w:afterAutospacing="0"/>
        <w:rPr>
          <w:rFonts w:ascii="Tinos" w:hAnsi="Tinos" w:cs="Tinos"/>
          <w:color w:val="000000" w:themeColor="text1"/>
        </w:rPr>
      </w:pPr>
      <w:r>
        <w:rPr>
          <w:rFonts w:ascii="Tinos" w:hAnsi="Tinos" w:eastAsia="Tinos" w:cs="Tinos"/>
          <w:color w:val="000000" w:themeColor="text1"/>
        </w:rPr>
      </w:r>
      <w:r>
        <w:rPr>
          <w:rFonts w:ascii="Tinos" w:hAnsi="Tinos" w:eastAsia="Tinos" w:cs="Tinos"/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1606" w:customStyle="1">
    <w:name w:val="ConsPlusNormal"/>
    <w:link w:val="8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2025-05-12T08:38:42Z</dcterms:modified>
</cp:coreProperties>
</file>